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DC" w:rsidRPr="007B385D" w:rsidRDefault="001457DC" w:rsidP="001457DC">
      <w:pPr>
        <w:pStyle w:val="Titre"/>
        <w:rPr>
          <w:b/>
        </w:rPr>
      </w:pPr>
      <w:r w:rsidRPr="007B385D">
        <w:rPr>
          <w:b/>
        </w:rPr>
        <w:t>Normes éditoriales</w:t>
      </w:r>
    </w:p>
    <w:p w:rsidR="00836EEC" w:rsidRPr="0070403D" w:rsidRDefault="00836EEC" w:rsidP="001457DC">
      <w:pPr>
        <w:pStyle w:val="Titre1"/>
        <w:rPr>
          <w:b w:val="0"/>
          <w:sz w:val="20"/>
        </w:rPr>
      </w:pPr>
      <w:r w:rsidRPr="0070403D">
        <w:rPr>
          <w:b w:val="0"/>
          <w:sz w:val="20"/>
        </w:rPr>
        <w:t>Résumé :</w:t>
      </w:r>
    </w:p>
    <w:p w:rsidR="00836EEC" w:rsidRPr="0070403D" w:rsidRDefault="00836EEC" w:rsidP="00836EEC">
      <w:pPr>
        <w:ind w:firstLine="0"/>
        <w:rPr>
          <w:sz w:val="20"/>
        </w:rPr>
      </w:pPr>
      <w:r w:rsidRPr="0070403D">
        <w:rPr>
          <w:sz w:val="20"/>
        </w:rPr>
        <w:t>Mots-clés :</w:t>
      </w:r>
    </w:p>
    <w:p w:rsidR="00836EEC" w:rsidRPr="0070403D" w:rsidRDefault="00836EEC" w:rsidP="00836EEC">
      <w:pPr>
        <w:ind w:firstLine="0"/>
        <w:rPr>
          <w:sz w:val="20"/>
        </w:rPr>
      </w:pPr>
    </w:p>
    <w:p w:rsidR="00836EEC" w:rsidRPr="0070403D" w:rsidRDefault="00836EEC" w:rsidP="00836EEC">
      <w:pPr>
        <w:ind w:firstLine="0"/>
        <w:rPr>
          <w:i/>
          <w:sz w:val="20"/>
        </w:rPr>
      </w:pPr>
      <w:r w:rsidRPr="0070403D">
        <w:rPr>
          <w:i/>
          <w:sz w:val="20"/>
        </w:rPr>
        <w:t xml:space="preserve">Abstract: </w:t>
      </w:r>
    </w:p>
    <w:p w:rsidR="00836EEC" w:rsidRPr="0070403D" w:rsidRDefault="00836EEC" w:rsidP="00836EEC">
      <w:pPr>
        <w:ind w:firstLine="0"/>
        <w:rPr>
          <w:i/>
          <w:sz w:val="20"/>
        </w:rPr>
      </w:pPr>
    </w:p>
    <w:p w:rsidR="00836EEC" w:rsidRPr="00836EEC" w:rsidRDefault="00836EEC" w:rsidP="00836EEC">
      <w:pPr>
        <w:ind w:firstLine="0"/>
        <w:rPr>
          <w:i/>
          <w:sz w:val="24"/>
        </w:rPr>
      </w:pPr>
      <w:r w:rsidRPr="0070403D">
        <w:rPr>
          <w:i/>
          <w:sz w:val="20"/>
        </w:rPr>
        <w:t>Keywords:</w:t>
      </w:r>
    </w:p>
    <w:p w:rsidR="00E61D6F" w:rsidRDefault="00E61D6F" w:rsidP="001457DC">
      <w:pPr>
        <w:pStyle w:val="Titre1"/>
      </w:pPr>
      <w:r>
        <w:t>Introduction</w:t>
      </w:r>
    </w:p>
    <w:p w:rsidR="001457DC" w:rsidRDefault="00287C7F" w:rsidP="001457DC">
      <w:pPr>
        <w:suppressAutoHyphens/>
      </w:pPr>
      <w:r>
        <w:t xml:space="preserve">Le corps du texte (style </w:t>
      </w:r>
      <w:r w:rsidR="001C127F">
        <w:t>« </w:t>
      </w:r>
      <w:r>
        <w:t>N</w:t>
      </w:r>
      <w:r w:rsidR="00067358">
        <w:t>ormal</w:t>
      </w:r>
      <w:r w:rsidR="001C127F">
        <w:t> »</w:t>
      </w:r>
      <w:r w:rsidR="00067358">
        <w:t>) est en Times New R</w:t>
      </w:r>
      <w:r w:rsidR="00E61D6F">
        <w:t>oman</w:t>
      </w:r>
      <w:r w:rsidR="00067358">
        <w:t xml:space="preserve"> (TNR)</w:t>
      </w:r>
      <w:r w:rsidR="00E61D6F">
        <w:t xml:space="preserve"> 11, justifié, interligne simple, avec un retrait positif de première ligne de 0,5. Pas d’espacement avant ni après. Il est préférable de ne pas accep</w:t>
      </w:r>
      <w:r w:rsidR="00067358">
        <w:t>ter les coupures de mots (dans « paragraphe » / « enchaînements »</w:t>
      </w:r>
      <w:r w:rsidR="00E61D6F">
        <w:t>).</w:t>
      </w:r>
    </w:p>
    <w:p w:rsidR="001457DC" w:rsidRDefault="001457DC" w:rsidP="001457DC">
      <w:pPr>
        <w:suppressAutoHyphens/>
      </w:pPr>
      <w:r>
        <w:t>Le titre de l’article est en Times New Roman 18, centré, gras, espacement avant 60</w:t>
      </w:r>
      <w:r w:rsidR="00067358">
        <w:t> </w:t>
      </w:r>
      <w:r>
        <w:t>pt, espacement après -12</w:t>
      </w:r>
      <w:r w:rsidR="00067358">
        <w:t> </w:t>
      </w:r>
      <w:r>
        <w:t>pt. Les noms/prénoms des auteurs</w:t>
      </w:r>
      <w:r>
        <w:rPr>
          <w:rStyle w:val="Appelnotedebasdep"/>
        </w:rPr>
        <w:footnoteReference w:id="1"/>
      </w:r>
      <w:r>
        <w:t xml:space="preserve"> sont composés en Times New Roman 14, aucun espacement avant, espacement après 30</w:t>
      </w:r>
      <w:r w:rsidR="00067358">
        <w:t> </w:t>
      </w:r>
      <w:r>
        <w:t>pt</w:t>
      </w:r>
      <w:r w:rsidR="00067358">
        <w:t>.</w:t>
      </w:r>
    </w:p>
    <w:p w:rsidR="00E61D6F" w:rsidRDefault="00E61D6F" w:rsidP="007E4296">
      <w:pPr>
        <w:suppressAutoHyphens/>
      </w:pPr>
      <w:r>
        <w:t>Le texte fait 187 mm dans sa hauteur et 150 mm dans sa largeur, ce qui correspond aux marges suivantes :</w:t>
      </w:r>
    </w:p>
    <w:p w:rsidR="00E61D6F" w:rsidRDefault="00E61D6F" w:rsidP="001457DC">
      <w:pPr>
        <w:numPr>
          <w:ilvl w:val="0"/>
          <w:numId w:val="7"/>
        </w:numPr>
        <w:suppressAutoHyphens/>
      </w:pPr>
      <w:r>
        <w:t>haut, 6 cm ;</w:t>
      </w:r>
    </w:p>
    <w:p w:rsidR="00E61D6F" w:rsidRDefault="00E61D6F" w:rsidP="001457DC">
      <w:pPr>
        <w:numPr>
          <w:ilvl w:val="0"/>
          <w:numId w:val="7"/>
        </w:numPr>
        <w:suppressAutoHyphens/>
      </w:pPr>
      <w:r>
        <w:t>bas, 5 cm ;</w:t>
      </w:r>
    </w:p>
    <w:p w:rsidR="00E61D6F" w:rsidRDefault="00E61D6F" w:rsidP="001457DC">
      <w:pPr>
        <w:numPr>
          <w:ilvl w:val="0"/>
          <w:numId w:val="7"/>
        </w:numPr>
        <w:suppressAutoHyphens/>
      </w:pPr>
      <w:r>
        <w:t>gauche, 5,25 cm ;</w:t>
      </w:r>
    </w:p>
    <w:p w:rsidR="00E61D6F" w:rsidRDefault="00E61D6F" w:rsidP="001457DC">
      <w:pPr>
        <w:numPr>
          <w:ilvl w:val="0"/>
          <w:numId w:val="7"/>
        </w:numPr>
        <w:suppressAutoHyphens/>
      </w:pPr>
      <w:r>
        <w:t xml:space="preserve">droite, 5,25 cm le texte revient </w:t>
      </w:r>
      <w:r w:rsidR="001457DC">
        <w:t>complétement</w:t>
      </w:r>
      <w:r>
        <w:t xml:space="preserve"> à gauche dans un alinéa, il ne doit être en retrait (éviter les puces, peu esthétiques, et préférer les tirets cadratin</w:t>
      </w:r>
      <w:r w:rsidR="00067358">
        <w:t>, touches « </w:t>
      </w:r>
      <w:r>
        <w:t>ctrl</w:t>
      </w:r>
      <w:r w:rsidR="00067358">
        <w:t> », « - » du pavé numérique</w:t>
      </w:r>
      <w:r>
        <w:t xml:space="preserve"> sur un pc).</w:t>
      </w:r>
    </w:p>
    <w:p w:rsidR="00E61D6F" w:rsidRPr="00B749AE" w:rsidRDefault="00E61D6F" w:rsidP="007E4296">
      <w:pPr>
        <w:suppressAutoHyphens/>
      </w:pPr>
      <w:r>
        <w:lastRenderedPageBreak/>
        <w:t>Les alinéas sont dans le même style que le corps de texte, mais sans retrait positif de première ligne. On peut juger utile d’attribuer un espacement de 6 points à la dernière ligne d’une suite d’alinéas.</w:t>
      </w:r>
    </w:p>
    <w:p w:rsidR="00E61D6F" w:rsidRPr="001F53F3" w:rsidRDefault="00E61D6F" w:rsidP="001457DC">
      <w:pPr>
        <w:pStyle w:val="Titre1"/>
      </w:pPr>
      <w:r w:rsidRPr="001F53F3">
        <w:t xml:space="preserve">Titre de </w:t>
      </w:r>
      <w:r w:rsidRPr="001457DC">
        <w:t>niveau</w:t>
      </w:r>
      <w:r w:rsidRPr="001F53F3">
        <w:t xml:space="preserve"> 1</w:t>
      </w:r>
    </w:p>
    <w:p w:rsidR="00E61D6F" w:rsidRDefault="00E61D6F" w:rsidP="007E4296">
      <w:pPr>
        <w:suppressAutoHyphens/>
      </w:pPr>
      <w:r>
        <w:t>Les</w:t>
      </w:r>
      <w:r w:rsidR="00067358">
        <w:t xml:space="preserve"> titres de niveau 1 sont en TNR </w:t>
      </w:r>
      <w:r>
        <w:t>12, gras, alignés à gauche, espacement avant 24, espacement après 12, paragraphes solidaires.</w:t>
      </w:r>
    </w:p>
    <w:p w:rsidR="00E61D6F" w:rsidRPr="006A6AD0" w:rsidRDefault="00E61D6F" w:rsidP="001457DC">
      <w:pPr>
        <w:pStyle w:val="Titre2"/>
        <w:rPr>
          <w:i w:val="0"/>
        </w:rPr>
      </w:pPr>
      <w:r w:rsidRPr="006A6AD0">
        <w:t xml:space="preserve">Titre de </w:t>
      </w:r>
      <w:r w:rsidRPr="001457DC">
        <w:t>niveau</w:t>
      </w:r>
      <w:r w:rsidRPr="006A6AD0">
        <w:t> 2</w:t>
      </w:r>
    </w:p>
    <w:p w:rsidR="00E61D6F" w:rsidRDefault="00E61D6F" w:rsidP="007E4296">
      <w:pPr>
        <w:suppressAutoHyphens/>
      </w:pPr>
      <w:r>
        <w:t>Les</w:t>
      </w:r>
      <w:r w:rsidR="00067358">
        <w:t xml:space="preserve"> titres de niveau 2 sont en TNR </w:t>
      </w:r>
      <w:r>
        <w:t>11, gras, italiques alignés à gauche, espacement avant 12, espacement après 12, paragraphes solidaires.</w:t>
      </w:r>
    </w:p>
    <w:p w:rsidR="00E61D6F" w:rsidRPr="006A6AD0" w:rsidRDefault="00E61D6F" w:rsidP="001457DC">
      <w:pPr>
        <w:pStyle w:val="Titre3"/>
        <w:rPr>
          <w:b/>
        </w:rPr>
      </w:pPr>
      <w:r w:rsidRPr="006A6AD0">
        <w:t xml:space="preserve">Titre de </w:t>
      </w:r>
      <w:r w:rsidRPr="001457DC">
        <w:t>niveau</w:t>
      </w:r>
      <w:r w:rsidRPr="006A6AD0">
        <w:t> 3</w:t>
      </w:r>
    </w:p>
    <w:p w:rsidR="00E61D6F" w:rsidRDefault="00E61D6F" w:rsidP="001457DC">
      <w:pPr>
        <w:suppressAutoHyphens/>
      </w:pPr>
      <w:r>
        <w:t>Les titres d</w:t>
      </w:r>
      <w:r w:rsidR="00067358">
        <w:t>e niveau 3 sont en TNR </w:t>
      </w:r>
      <w:r>
        <w:t>11, non gras, italiques alignés à gauche, espacement avant 12, espacement après 12, paragraphes solidaires.</w:t>
      </w:r>
    </w:p>
    <w:p w:rsidR="00E61D6F" w:rsidRDefault="00E61D6F" w:rsidP="007E4296">
      <w:pPr>
        <w:suppressAutoHyphens/>
      </w:pPr>
      <w:r>
        <w:t>Les en-têtes des pages paires et impaires sont placées à 4,5 cm. Elles sont en times new roman 10 Gras. Les numéros de pages sont centr</w:t>
      </w:r>
      <w:r w:rsidR="00067358">
        <w:t>és en bas de page. Ils sont en TNR 10, g</w:t>
      </w:r>
      <w:r>
        <w:t>ras. Sur l’en-tête des pages paires, on place le titre de l’ouvrage, centré (ess</w:t>
      </w:r>
      <w:r w:rsidR="00067358">
        <w:t xml:space="preserve">ayer de ne pas dépasser 40 à 50 </w:t>
      </w:r>
      <w:r>
        <w:t>caractères). Sur celui des pages impaires, on place le titre du chapitre (même remarque).</w:t>
      </w:r>
    </w:p>
    <w:p w:rsidR="00E61D6F" w:rsidRDefault="00E61D6F" w:rsidP="001457DC">
      <w:pPr>
        <w:pStyle w:val="Titre4"/>
      </w:pPr>
      <w:r>
        <w:t>Les notes de bas de pages</w:t>
      </w:r>
    </w:p>
    <w:p w:rsidR="00E61D6F" w:rsidRDefault="00E61D6F" w:rsidP="007E4296">
      <w:pPr>
        <w:suppressAutoHyphens/>
      </w:pPr>
      <w:r>
        <w:t>L’appel de n</w:t>
      </w:r>
      <w:r w:rsidR="00067358">
        <w:t>otes de bas de pages est en TNR </w:t>
      </w:r>
      <w:r>
        <w:t>9, exposant</w:t>
      </w:r>
      <w:r>
        <w:rPr>
          <w:rStyle w:val="Appelnotedebasdep"/>
        </w:rPr>
        <w:footnoteReference w:id="2"/>
      </w:r>
      <w:r>
        <w:t>.</w:t>
      </w:r>
    </w:p>
    <w:p w:rsidR="00E61D6F" w:rsidRDefault="00E61D6F" w:rsidP="007E4296">
      <w:pPr>
        <w:pStyle w:val="Titre4"/>
        <w:suppressAutoHyphens/>
      </w:pPr>
      <w:r>
        <w:t>Les citations</w:t>
      </w:r>
    </w:p>
    <w:p w:rsidR="00E61D6F" w:rsidRDefault="00E61D6F" w:rsidP="007E4296">
      <w:pPr>
        <w:suppressAutoHyphens/>
      </w:pPr>
      <w:r>
        <w:t>Dans la mesure où elles sont brèves « les citations sont insérées dans le corps du texte » (Auteur, 2000, p. 6). Si la citation est longue, on la fera figurer dans une forme particulière pour la faire ressortir :</w:t>
      </w:r>
    </w:p>
    <w:p w:rsidR="00E61D6F" w:rsidRDefault="00E61D6F" w:rsidP="0019424F">
      <w:pPr>
        <w:pStyle w:val="Citation"/>
        <w:suppressAutoHyphens/>
        <w:ind w:left="862" w:right="862"/>
        <w:jc w:val="both"/>
      </w:pPr>
      <w:r>
        <w:t xml:space="preserve">« cette citation est longue au sens où elle fait plus d’une phrase, par exemple. Elle est placée hors du corps de texte en </w:t>
      </w:r>
      <w:r w:rsidR="00067358">
        <w:lastRenderedPageBreak/>
        <w:t>TNR </w:t>
      </w:r>
      <w:r>
        <w:t>9, espacement avant 6, espacement après 12, sans retrait positif de première ligne » (Auteur, 2000, p. 6).</w:t>
      </w:r>
    </w:p>
    <w:p w:rsidR="00E61D6F" w:rsidRDefault="00E61D6F" w:rsidP="007E4296">
      <w:pPr>
        <w:pStyle w:val="Titre4"/>
        <w:suppressAutoHyphens/>
      </w:pPr>
      <w:r>
        <w:t>S'il y a des tableaux et figures</w:t>
      </w:r>
    </w:p>
    <w:p w:rsidR="00E61D6F" w:rsidRDefault="00E61D6F" w:rsidP="00605D00">
      <w:pPr>
        <w:suppressAutoHyphens/>
      </w:pPr>
      <w:r>
        <w:t>Les légendes des tableaux sont placées au-dess</w:t>
      </w:r>
      <w:r w:rsidR="0026258A">
        <w:t>o</w:t>
      </w:r>
      <w:r>
        <w:t>us du tableau, cel</w:t>
      </w:r>
      <w:r w:rsidR="009B072A">
        <w:t>les des figures le sont au</w:t>
      </w:r>
      <w:bookmarkStart w:id="0" w:name="_GoBack"/>
      <w:bookmarkEnd w:id="0"/>
      <w:r w:rsidR="0026258A">
        <w:t xml:space="preserve"> dess</w:t>
      </w:r>
      <w:r>
        <w:t>us.</w:t>
      </w:r>
    </w:p>
    <w:p w:rsidR="00605D00" w:rsidRDefault="00605D00" w:rsidP="00605D00">
      <w:pPr>
        <w:suppressAutoHyphens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5"/>
      </w:tblGrid>
      <w:tr w:rsidR="00E61D6F">
        <w:trPr>
          <w:jc w:val="center"/>
        </w:trPr>
        <w:tc>
          <w:tcPr>
            <w:tcW w:w="1985" w:type="dxa"/>
          </w:tcPr>
          <w:p w:rsidR="00E61D6F" w:rsidRDefault="00E61D6F" w:rsidP="007E4296">
            <w:pPr>
              <w:pStyle w:val="Tableau"/>
              <w:suppressAutoHyphens/>
            </w:pPr>
            <w:r>
              <w:t>Le s</w:t>
            </w:r>
            <w:r w:rsidR="00067358">
              <w:t>tyle « Tableau » est en TNR </w:t>
            </w:r>
            <w:r>
              <w:t>10</w:t>
            </w:r>
          </w:p>
        </w:tc>
        <w:tc>
          <w:tcPr>
            <w:tcW w:w="1985" w:type="dxa"/>
          </w:tcPr>
          <w:p w:rsidR="00E61D6F" w:rsidRDefault="00E61D6F" w:rsidP="007E4296">
            <w:pPr>
              <w:pStyle w:val="Tableau"/>
              <w:suppressAutoHyphens/>
            </w:pPr>
            <w:r>
              <w:t>Les lignes sont d’épaisseur 0,5 point.</w:t>
            </w:r>
          </w:p>
        </w:tc>
        <w:tc>
          <w:tcPr>
            <w:tcW w:w="1985" w:type="dxa"/>
          </w:tcPr>
          <w:p w:rsidR="00E61D6F" w:rsidRDefault="00E61D6F" w:rsidP="007E4296">
            <w:pPr>
              <w:pStyle w:val="Tableau"/>
              <w:suppressAutoHyphens/>
            </w:pPr>
            <w:r>
              <w:t>Le tableau est centré dans la page</w:t>
            </w:r>
          </w:p>
        </w:tc>
      </w:tr>
      <w:tr w:rsidR="00E61D6F">
        <w:trPr>
          <w:jc w:val="center"/>
        </w:trPr>
        <w:tc>
          <w:tcPr>
            <w:tcW w:w="1985" w:type="dxa"/>
          </w:tcPr>
          <w:p w:rsidR="00E61D6F" w:rsidRDefault="00067358" w:rsidP="007E4296">
            <w:pPr>
              <w:pStyle w:val="Tableau"/>
              <w:suppressAutoHyphens/>
            </w:pPr>
            <w:r>
              <w:t> </w:t>
            </w:r>
          </w:p>
        </w:tc>
        <w:tc>
          <w:tcPr>
            <w:tcW w:w="1985" w:type="dxa"/>
          </w:tcPr>
          <w:p w:rsidR="00E61D6F" w:rsidRDefault="00067358" w:rsidP="007E4296">
            <w:pPr>
              <w:pStyle w:val="Tableau"/>
              <w:suppressAutoHyphens/>
            </w:pPr>
            <w:r>
              <w:t> </w:t>
            </w:r>
          </w:p>
        </w:tc>
        <w:tc>
          <w:tcPr>
            <w:tcW w:w="1985" w:type="dxa"/>
          </w:tcPr>
          <w:p w:rsidR="00E61D6F" w:rsidRDefault="00067358" w:rsidP="007E4296">
            <w:pPr>
              <w:pStyle w:val="Tableau"/>
              <w:suppressAutoHyphens/>
            </w:pPr>
            <w:r>
              <w:t> </w:t>
            </w:r>
          </w:p>
        </w:tc>
      </w:tr>
    </w:tbl>
    <w:p w:rsidR="00605D00" w:rsidRDefault="00605D00" w:rsidP="00605D00">
      <w:pPr>
        <w:pStyle w:val="Lgendetab"/>
      </w:pPr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Les textes sont en TNR 10, italiques, justifié, avant 12, après 6 et paragraphe solidaire pour éviter que la légende soit sur une page et le tableau sur une autre (style « Légende_tab ») Mais il est possible de scinder cette légende en deux partie : titre du tableau et légende du tableau.</w:t>
      </w:r>
    </w:p>
    <w:p w:rsidR="00605D00" w:rsidRPr="00605D00" w:rsidRDefault="00605D00" w:rsidP="00605D00"/>
    <w:p w:rsidR="00E61D6F" w:rsidRDefault="00E61D6F" w:rsidP="007E4296">
      <w:pPr>
        <w:suppressAutoHyphens/>
      </w:pPr>
      <w:r>
        <w:t>Passer une ligne après un tableau.</w:t>
      </w:r>
    </w:p>
    <w:p w:rsidR="00E61D6F" w:rsidRDefault="00E61D6F" w:rsidP="007E4296">
      <w:pPr>
        <w:suppressAutoHyphens/>
      </w:pPr>
      <w:r>
        <w:t>Pour ce qui concerne les figures, elles sont centrées d</w:t>
      </w:r>
      <w:r w:rsidR="00067358">
        <w:t>ans la page, avant 12 (style « Figure »</w:t>
      </w:r>
      <w:r>
        <w:t>).</w:t>
      </w:r>
    </w:p>
    <w:p w:rsidR="00605D00" w:rsidRDefault="00605D00" w:rsidP="00605D00">
      <w:pPr>
        <w:pStyle w:val="Lgende"/>
        <w:suppressAutoHyphens/>
      </w:pPr>
      <w:r>
        <w:t>Figure 1. TNR 10, italiques, avant 6, après 12 (style « Légende »).</w:t>
      </w:r>
    </w:p>
    <w:p w:rsidR="00E61D6F" w:rsidRDefault="00067358" w:rsidP="007E4296">
      <w:pPr>
        <w:pStyle w:val="Figure"/>
        <w:suppressAutoHyphens/>
      </w:pPr>
      <w:r>
        <w:rPr>
          <w:noProof/>
        </w:rPr>
        <w:drawing>
          <wp:inline distT="0" distB="0" distL="0" distR="0">
            <wp:extent cx="1014776" cy="77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norm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49" cy="81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D00" w:rsidRDefault="00605D00" w:rsidP="007E4296">
      <w:pPr>
        <w:suppressAutoHyphens/>
      </w:pPr>
    </w:p>
    <w:p w:rsidR="00E61D6F" w:rsidRDefault="00E61D6F" w:rsidP="007E4296">
      <w:pPr>
        <w:suppressAutoHyphens/>
      </w:pPr>
      <w:r>
        <w:t xml:space="preserve">Si on livre des extraits de séquences conversationnelles ou autres corpus, on peut utiliser le style </w:t>
      </w:r>
      <w:r w:rsidR="001C127F">
        <w:t>« C</w:t>
      </w:r>
      <w:r>
        <w:t>orpus</w:t>
      </w:r>
      <w:r w:rsidR="001C127F">
        <w:t> »</w:t>
      </w:r>
      <w:r>
        <w:t>, en forçant un espacement ava</w:t>
      </w:r>
      <w:r w:rsidR="00067358">
        <w:t>nt de 12 </w:t>
      </w:r>
      <w:r>
        <w:t>points à la première lig</w:t>
      </w:r>
      <w:r w:rsidR="00067358">
        <w:t>ne et un espacement après de 12 </w:t>
      </w:r>
      <w:r>
        <w:t>points à la dernière ligne.</w:t>
      </w:r>
    </w:p>
    <w:p w:rsidR="00E61D6F" w:rsidRDefault="00067358" w:rsidP="007E4296">
      <w:pPr>
        <w:pStyle w:val="Corpus"/>
        <w:suppressAutoHyphens/>
        <w:spacing w:before="240"/>
      </w:pPr>
      <w:r>
        <w:t>A</w:t>
      </w:r>
      <w:r>
        <w:tab/>
        <w:t>Ceci est un exemple en TNR </w:t>
      </w:r>
      <w:r w:rsidR="00E61D6F">
        <w:t>9, italiques, retrait à gauche de 1 cm et retrait de première ligne négatif de 0,75.</w:t>
      </w:r>
    </w:p>
    <w:p w:rsidR="00E61D6F" w:rsidRDefault="00E61D6F" w:rsidP="007E4296">
      <w:pPr>
        <w:pStyle w:val="Corpus"/>
        <w:suppressAutoHyphens/>
      </w:pPr>
      <w:r>
        <w:t>B</w:t>
      </w:r>
      <w:r>
        <w:tab/>
        <w:t>D’accord.</w:t>
      </w:r>
    </w:p>
    <w:p w:rsidR="00E61D6F" w:rsidRDefault="00E61D6F" w:rsidP="007E4296">
      <w:pPr>
        <w:pStyle w:val="Corpus"/>
        <w:suppressAutoHyphens/>
        <w:spacing w:after="240"/>
      </w:pPr>
      <w:r>
        <w:t>A</w:t>
      </w:r>
      <w:r>
        <w:tab/>
        <w:t>Toutefois, les conventions livrées ici sont adaptables.</w:t>
      </w:r>
    </w:p>
    <w:p w:rsidR="00E61D6F" w:rsidRDefault="00E61D6F" w:rsidP="007E4296">
      <w:pPr>
        <w:suppressAutoHyphens/>
      </w:pPr>
      <w:r>
        <w:t>Pour les formules diverses</w:t>
      </w:r>
    </w:p>
    <w:p w:rsidR="00E61D6F" w:rsidRDefault="00E61D6F" w:rsidP="007E4296">
      <w:pPr>
        <w:pStyle w:val="formule"/>
        <w:suppressAutoHyphens/>
      </w:pPr>
      <w:r>
        <w:t>a + b = c (TNR 9, avant 6, après 12, retrait à gauche de 1 cm)</w:t>
      </w:r>
    </w:p>
    <w:p w:rsidR="00E61D6F" w:rsidRDefault="00E61D6F" w:rsidP="007E4296">
      <w:pPr>
        <w:suppressAutoHyphens/>
      </w:pPr>
      <w:r>
        <w:lastRenderedPageBreak/>
        <w:t>Enfin, les divers exemples de références (uniquement les auteurs cités dans l'article) placés ci-après devraient donner une assez bonne idée des normes de présentation de la</w:t>
      </w:r>
      <w:r w:rsidR="00067358">
        <w:t xml:space="preserve"> bibliographie. Elle est en TNR </w:t>
      </w:r>
      <w:r>
        <w:t>10, retrait négatif de première ligne : 0,75 cm.</w:t>
      </w:r>
    </w:p>
    <w:p w:rsidR="00E61D6F" w:rsidRDefault="00E61D6F" w:rsidP="00B80D78">
      <w:pPr>
        <w:pStyle w:val="Titre1"/>
        <w:keepNext w:val="0"/>
        <w:widowControl w:val="0"/>
        <w:suppressAutoHyphens/>
      </w:pPr>
      <w:r>
        <w:t>Références</w:t>
      </w:r>
    </w:p>
    <w:p w:rsidR="00E61D6F" w:rsidRPr="00067358" w:rsidRDefault="00E61D6F" w:rsidP="007C4145">
      <w:pPr>
        <w:pStyle w:val="Bibliographie"/>
        <w:rPr>
          <w:rFonts w:eastAsia="TimesNewRomanPSMT"/>
        </w:rPr>
      </w:pPr>
      <w:r w:rsidRPr="00727A58">
        <w:rPr>
          <w:rFonts w:eastAsia="TimesNewRomanPSMT"/>
        </w:rPr>
        <w:t>Arendt, H</w:t>
      </w:r>
      <w:r w:rsidR="0026258A">
        <w:rPr>
          <w:rFonts w:eastAsia="TimesNewRomanPSMT"/>
        </w:rPr>
        <w:t>annah</w:t>
      </w:r>
      <w:r w:rsidRPr="00727A58">
        <w:rPr>
          <w:rFonts w:eastAsia="TimesNewRomanPSMT"/>
        </w:rPr>
        <w:t xml:space="preserve"> (1972). La crise de la culture. </w:t>
      </w:r>
      <w:r w:rsidR="00067358">
        <w:rPr>
          <w:rFonts w:eastAsia="TimesNewRomanPSMT"/>
          <w:lang w:val="en-US"/>
        </w:rPr>
        <w:t>(Trad. P. Lévy). Paris </w:t>
      </w:r>
      <w:r w:rsidRPr="006A6DC5">
        <w:rPr>
          <w:rFonts w:eastAsia="TimesNewRomanPSMT"/>
          <w:lang w:val="en-US"/>
        </w:rPr>
        <w:t xml:space="preserve">: Gallimard. [éd. originale (1961-1968). </w:t>
      </w:r>
      <w:r w:rsidRPr="006A6DC5">
        <w:rPr>
          <w:rFonts w:cs="Helvetica"/>
          <w:i/>
          <w:iCs/>
          <w:color w:val="1C1C1C"/>
          <w:szCs w:val="28"/>
          <w:lang w:val="en-US"/>
        </w:rPr>
        <w:t>Between Past and Future</w:t>
      </w:r>
      <w:r w:rsidRPr="006A6DC5">
        <w:rPr>
          <w:rFonts w:cs="Helvetica"/>
          <w:iCs/>
          <w:color w:val="1C1C1C"/>
          <w:szCs w:val="28"/>
          <w:lang w:val="en-US"/>
        </w:rPr>
        <w:t xml:space="preserve">. </w:t>
      </w:r>
      <w:r w:rsidRPr="00067358">
        <w:rPr>
          <w:rFonts w:eastAsia="TimesNewRomanPSMT"/>
        </w:rPr>
        <w:t>New York City: Viking Press].</w:t>
      </w:r>
    </w:p>
    <w:p w:rsidR="003F7C5D" w:rsidRPr="003F7C5D" w:rsidRDefault="008D3CCB" w:rsidP="007C4145">
      <w:pPr>
        <w:pStyle w:val="Bibliographie"/>
      </w:pPr>
      <w:r>
        <w:t>Brousseau, Guy</w:t>
      </w:r>
      <w:r w:rsidR="003F7C5D" w:rsidRPr="003F7C5D">
        <w:t xml:space="preserve"> (1998). </w:t>
      </w:r>
      <w:r w:rsidR="003F7C5D" w:rsidRPr="003F7C5D">
        <w:rPr>
          <w:i/>
        </w:rPr>
        <w:t>Théorie des situations didactiques</w:t>
      </w:r>
      <w:r w:rsidR="003F7C5D" w:rsidRPr="003F7C5D">
        <w:t>. La Pensée Sauvage.</w:t>
      </w:r>
    </w:p>
    <w:p w:rsidR="003F7C5D" w:rsidRPr="007C4145" w:rsidRDefault="008D3CCB" w:rsidP="007C4145">
      <w:pPr>
        <w:pStyle w:val="Bibliographie"/>
      </w:pPr>
      <w:r>
        <w:t>Brousseau, Guy</w:t>
      </w:r>
      <w:r w:rsidR="003F7C5D" w:rsidRPr="003F7C5D">
        <w:t xml:space="preserve"> (1999). Le cas de Gaël, </w:t>
      </w:r>
      <w:r w:rsidR="00067358">
        <w:t>(Site de Guy Brousseau, inédit) </w:t>
      </w:r>
      <w:r w:rsidR="003F7C5D" w:rsidRPr="003F7C5D">
        <w:t>:</w:t>
      </w:r>
      <w:r w:rsidR="007C4145">
        <w:t xml:space="preserve"> </w:t>
      </w:r>
      <w:r w:rsidR="003F7C5D" w:rsidRPr="003F7C5D">
        <w:t>http://guy-brousseau.com/wp-content/uploads/2010/12/Le-cas-de-Ga%C3%ABl.pdf</w:t>
      </w:r>
    </w:p>
    <w:p w:rsidR="003F7C5D" w:rsidRDefault="008D3CCB" w:rsidP="007C4145">
      <w:pPr>
        <w:pStyle w:val="Bibliographie"/>
      </w:pPr>
      <w:r>
        <w:t>Calmettes-Jean, Sandrine</w:t>
      </w:r>
      <w:r w:rsidR="003F7C5D" w:rsidRPr="003F7C5D">
        <w:t xml:space="preserve"> (2</w:t>
      </w:r>
      <w:r w:rsidR="00067358">
        <w:t>010). La saveur des maths. Dans </w:t>
      </w:r>
      <w:r w:rsidR="003F7C5D" w:rsidRPr="003F7C5D">
        <w:t>:</w:t>
      </w:r>
      <w:r>
        <w:t xml:space="preserve"> Marika Bergès-Bounes, Jean-Marie</w:t>
      </w:r>
      <w:r w:rsidR="003F7C5D" w:rsidRPr="003F7C5D">
        <w:t xml:space="preserve"> Forget (Dir.), </w:t>
      </w:r>
      <w:r w:rsidR="003F7C5D" w:rsidRPr="003F7C5D">
        <w:rPr>
          <w:i/>
        </w:rPr>
        <w:t>L'enfant et les apprentissages malmenés</w:t>
      </w:r>
      <w:r w:rsidR="003F7C5D" w:rsidRPr="003F7C5D">
        <w:t xml:space="preserve"> (101-119). Érès.</w:t>
      </w:r>
    </w:p>
    <w:p w:rsidR="003F7C5D" w:rsidRPr="003F7C5D" w:rsidRDefault="00435E58" w:rsidP="007C4145">
      <w:pPr>
        <w:pStyle w:val="Bibliographie"/>
      </w:pPr>
      <w:r>
        <w:t>Filloux, Jeanne</w:t>
      </w:r>
      <w:r w:rsidR="003F7C5D" w:rsidRPr="003F7C5D">
        <w:t xml:space="preserve"> (1996). </w:t>
      </w:r>
      <w:r w:rsidR="003F7C5D" w:rsidRPr="003F7C5D">
        <w:rPr>
          <w:i/>
        </w:rPr>
        <w:t>Du contrat pédagogique. Le discours inconscient de l'école</w:t>
      </w:r>
      <w:r w:rsidR="003F7C5D" w:rsidRPr="003F7C5D">
        <w:t xml:space="preserve"> (nouvelle édition revue et augmentée). L'Harmattan [éd. originale (1974). Dunod].</w:t>
      </w:r>
    </w:p>
    <w:p w:rsidR="003F7C5D" w:rsidRPr="00067358" w:rsidRDefault="00435E58" w:rsidP="007C4145">
      <w:pPr>
        <w:pStyle w:val="Bibliographie"/>
        <w:rPr>
          <w:lang w:val="de-DE"/>
        </w:rPr>
      </w:pPr>
      <w:r>
        <w:t>Freud, Sigmund</w:t>
      </w:r>
      <w:r w:rsidR="003F7C5D" w:rsidRPr="003F7C5D">
        <w:t xml:space="preserve"> (1987). </w:t>
      </w:r>
      <w:r w:rsidR="003F7C5D" w:rsidRPr="003F7C5D">
        <w:rPr>
          <w:i/>
        </w:rPr>
        <w:t>Trois Essais sur la théorie sexuelle</w:t>
      </w:r>
      <w:r w:rsidR="003F7C5D" w:rsidRPr="003F7C5D">
        <w:t xml:space="preserve">. </w:t>
      </w:r>
      <w:r w:rsidR="003F7C5D" w:rsidRPr="00067358">
        <w:rPr>
          <w:lang w:val="it-IT"/>
        </w:rPr>
        <w:t xml:space="preserve">(Trad. Ph. Kœppel). Gallimard. [éd. Originale (1905). </w:t>
      </w:r>
      <w:r w:rsidR="003F7C5D" w:rsidRPr="00067358">
        <w:rPr>
          <w:i/>
          <w:lang w:val="de-DE"/>
        </w:rPr>
        <w:t>Drei Abhandlungen zur Sexualtheorie</w:t>
      </w:r>
      <w:r w:rsidR="003F7C5D" w:rsidRPr="00067358">
        <w:rPr>
          <w:lang w:val="de-DE"/>
        </w:rPr>
        <w:t>. Leipzig-Wien: Franz Deuticke].</w:t>
      </w:r>
    </w:p>
    <w:p w:rsidR="003F7C5D" w:rsidRPr="00067358" w:rsidRDefault="00435E58" w:rsidP="007C4145">
      <w:pPr>
        <w:pStyle w:val="Bibliographie"/>
        <w:rPr>
          <w:lang w:val="en-US"/>
        </w:rPr>
      </w:pPr>
      <w:r w:rsidRPr="00067358">
        <w:rPr>
          <w:lang w:val="de-DE"/>
        </w:rPr>
        <w:t>Freud, Sigmund</w:t>
      </w:r>
      <w:r w:rsidR="003F7C5D" w:rsidRPr="00067358">
        <w:rPr>
          <w:lang w:val="de-DE"/>
        </w:rPr>
        <w:t xml:space="preserve"> (1984). </w:t>
      </w:r>
      <w:r w:rsidR="003F7C5D" w:rsidRPr="003F7C5D">
        <w:rPr>
          <w:i/>
        </w:rPr>
        <w:t>Résultats, idées, problèmes, I</w:t>
      </w:r>
      <w:r w:rsidR="00067358">
        <w:t>. « Sur la psychologie du lycéen » (p. </w:t>
      </w:r>
      <w:r w:rsidR="003F7C5D" w:rsidRPr="003F7C5D">
        <w:t xml:space="preserve">227-231). </w:t>
      </w:r>
      <w:r w:rsidR="003F7C5D" w:rsidRPr="00067358">
        <w:rPr>
          <w:lang w:val="de-DE"/>
        </w:rPr>
        <w:t xml:space="preserve">(Trad. P. Cotet, A. Rauzy). PUF. [éd. Originale (1914). </w:t>
      </w:r>
      <w:r w:rsidR="003F7C5D" w:rsidRPr="00067358">
        <w:rPr>
          <w:i/>
          <w:lang w:val="de-DE"/>
        </w:rPr>
        <w:t>Zur Psychologie des Gymnasiasten.</w:t>
      </w:r>
      <w:r w:rsidR="003F7C5D" w:rsidRPr="00067358">
        <w:rPr>
          <w:lang w:val="de-DE"/>
        </w:rPr>
        <w:t xml:space="preserve"> </w:t>
      </w:r>
      <w:r w:rsidR="003F7C5D" w:rsidRPr="00067358">
        <w:rPr>
          <w:lang w:val="en-US"/>
        </w:rPr>
        <w:t>Wien: K. K. Erzherzog - Rainer Realgymnasium].</w:t>
      </w:r>
    </w:p>
    <w:p w:rsidR="00B80D78" w:rsidRPr="00B80D78" w:rsidRDefault="00B80D78" w:rsidP="007C4145">
      <w:pPr>
        <w:pStyle w:val="Bibliographie"/>
      </w:pPr>
      <w:r w:rsidRPr="00605D00">
        <w:rPr>
          <w:lang w:val="en-US"/>
        </w:rPr>
        <w:t xml:space="preserve">MC Dermott, Ray. (1976). </w:t>
      </w:r>
      <w:r w:rsidRPr="00605D00">
        <w:rPr>
          <w:i/>
          <w:lang w:val="en-US"/>
        </w:rPr>
        <w:t>Kids make sense: An ethnographic account of the inter actional management of success and failure in one first-grade classroom</w:t>
      </w:r>
      <w:r w:rsidRPr="00605D00">
        <w:rPr>
          <w:lang w:val="en-US"/>
        </w:rPr>
        <w:t xml:space="preserve">. </w:t>
      </w:r>
      <w:r w:rsidRPr="00B80D78">
        <w:t>Unpublished Ph. D. Standtord University, Anthropology Department.</w:t>
      </w:r>
    </w:p>
    <w:p w:rsidR="00B80D78" w:rsidRPr="00B80D78" w:rsidRDefault="00435E58" w:rsidP="007C4145">
      <w:pPr>
        <w:pStyle w:val="Bibliographie"/>
      </w:pPr>
      <w:r>
        <w:t>Mercier, Alain</w:t>
      </w:r>
      <w:r w:rsidR="00B80D78" w:rsidRPr="00B80D78">
        <w:t xml:space="preserve"> (1994). Les concepts de situation et contrat didactiques (Cours de maîtrise de sciences de l'éducation – didactique des mathématiques, inédit). IUFM Aix-Marseille.</w:t>
      </w:r>
    </w:p>
    <w:p w:rsidR="00E61D6F" w:rsidRPr="00B80D78" w:rsidRDefault="00435E58" w:rsidP="007C4145">
      <w:pPr>
        <w:pStyle w:val="Bibliographie"/>
      </w:pPr>
      <w:r>
        <w:t>Prot, Frédérique Marie</w:t>
      </w:r>
      <w:r w:rsidR="00B80D78" w:rsidRPr="00B80D78">
        <w:t xml:space="preserve"> (2018). </w:t>
      </w:r>
      <w:r w:rsidR="00B80D78" w:rsidRPr="007C4145">
        <w:rPr>
          <w:i/>
        </w:rPr>
        <w:t>Pour des « cliniques de l’éducation ». Former les professeurs à la bienveillance : l’exemple des pratiques d’écriture à l’École Frei</w:t>
      </w:r>
      <w:r w:rsidR="0068522C" w:rsidRPr="007C4145">
        <w:rPr>
          <w:i/>
        </w:rPr>
        <w:t>net - Enquête sur un programme « LÉA »</w:t>
      </w:r>
      <w:r w:rsidR="00B80D78" w:rsidRPr="007C4145">
        <w:rPr>
          <w:i/>
        </w:rPr>
        <w:t xml:space="preserve"> (Lieux d’Éducation Associé) de l’IFÉ (Institut Français de l’Éducation)</w:t>
      </w:r>
      <w:r w:rsidR="00B80D78" w:rsidRPr="00B80D78">
        <w:t>. Thèse de doctorat en sciences de l'éducation, soutenue le 29 novembre 2018</w:t>
      </w:r>
      <w:r w:rsidR="0068522C">
        <w:t>. Nancy </w:t>
      </w:r>
      <w:r w:rsidR="00B80D78" w:rsidRPr="00B80D78">
        <w:t>: Université de Lorraine.</w:t>
      </w:r>
    </w:p>
    <w:sectPr w:rsidR="00E61D6F" w:rsidRPr="00B80D78" w:rsidSect="00C036E3">
      <w:headerReference w:type="default" r:id="rId8"/>
      <w:pgSz w:w="11906" w:h="16838" w:code="9"/>
      <w:pgMar w:top="3402" w:right="2693" w:bottom="3119" w:left="2693" w:header="2552" w:footer="22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B0" w:rsidRDefault="00E440B0">
      <w:r>
        <w:separator/>
      </w:r>
    </w:p>
  </w:endnote>
  <w:endnote w:type="continuationSeparator" w:id="0">
    <w:p w:rsidR="00E440B0" w:rsidRDefault="00E4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B0" w:rsidRDefault="00E440B0">
      <w:r>
        <w:separator/>
      </w:r>
    </w:p>
  </w:footnote>
  <w:footnote w:type="continuationSeparator" w:id="0">
    <w:p w:rsidR="00E440B0" w:rsidRDefault="00E440B0">
      <w:r>
        <w:continuationSeparator/>
      </w:r>
    </w:p>
  </w:footnote>
  <w:footnote w:id="1">
    <w:p w:rsidR="0026258A" w:rsidRDefault="0026258A" w:rsidP="001457DC">
      <w:pPr>
        <w:pStyle w:val="Notedebasdepage"/>
      </w:pPr>
      <w:r>
        <w:rPr>
          <w:rStyle w:val="Appelnotedebasdep"/>
        </w:rPr>
        <w:footnoteRef/>
      </w:r>
      <w:r>
        <w:t xml:space="preserve"> Lorsqu'il y a plusieurs auteurs, écrire leurs noms les uns sous les autres sans interligne (continu) ; placer un appel de note pour indiquer en bas de page l'appartenance universitaire (Exemple : MCF, Université de Lorraine, équipe </w:t>
      </w:r>
      <w:r>
        <w:rPr>
          <w:i/>
        </w:rPr>
        <w:t>Normes &amp;</w:t>
      </w:r>
      <w:r w:rsidRPr="00EA7546">
        <w:rPr>
          <w:i/>
        </w:rPr>
        <w:t xml:space="preserve"> Valeurs</w:t>
      </w:r>
      <w:r>
        <w:t xml:space="preserve">, LISEC, UR2310). </w:t>
      </w:r>
    </w:p>
  </w:footnote>
  <w:footnote w:id="2">
    <w:p w:rsidR="0026258A" w:rsidRDefault="0026258A">
      <w:pPr>
        <w:pStyle w:val="Notedebasdepage"/>
      </w:pPr>
      <w:r>
        <w:rPr>
          <w:rStyle w:val="Appelnotedebasdep"/>
        </w:rPr>
        <w:footnoteRef/>
      </w:r>
      <w:r>
        <w:t xml:space="preserve"> Les no</w:t>
      </w:r>
      <w:r w:rsidR="00067358">
        <w:t>tes de bas de pages sont en TNR </w:t>
      </w:r>
      <w:r>
        <w:t>9, interligne simple, justifiée. Word reporte la numérotation de bas de page en exposant.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8A" w:rsidRPr="001B6680" w:rsidRDefault="0026258A" w:rsidP="00E61D6F">
    <w:pPr>
      <w:pStyle w:val="En-tte"/>
      <w:jc w:val="center"/>
      <w:rPr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F3275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5C04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02C3D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EB6CC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4D41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A380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00A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DF48E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25AD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369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5405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A9557F"/>
    <w:multiLevelType w:val="hybridMultilevel"/>
    <w:tmpl w:val="0E9E0758"/>
    <w:lvl w:ilvl="0" w:tplc="29D06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2A6"/>
    <w:multiLevelType w:val="hybridMultilevel"/>
    <w:tmpl w:val="298C4D6A"/>
    <w:lvl w:ilvl="0" w:tplc="74FC582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D4845"/>
    <w:multiLevelType w:val="hybridMultilevel"/>
    <w:tmpl w:val="7780F5E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2001ED"/>
    <w:multiLevelType w:val="hybridMultilevel"/>
    <w:tmpl w:val="9AFE8D3C"/>
    <w:lvl w:ilvl="0" w:tplc="6BC61AAC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autoHyphenation/>
  <w:consecutiveHyphenLimit w:val="2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6650C"/>
    <w:rsid w:val="00067358"/>
    <w:rsid w:val="000C2E77"/>
    <w:rsid w:val="00131496"/>
    <w:rsid w:val="001457DC"/>
    <w:rsid w:val="0019424F"/>
    <w:rsid w:val="001B470A"/>
    <w:rsid w:val="001C127F"/>
    <w:rsid w:val="001E7AD3"/>
    <w:rsid w:val="0026258A"/>
    <w:rsid w:val="00287C7F"/>
    <w:rsid w:val="0033023D"/>
    <w:rsid w:val="00335217"/>
    <w:rsid w:val="003C2BBD"/>
    <w:rsid w:val="003F7C5D"/>
    <w:rsid w:val="00427F95"/>
    <w:rsid w:val="00434DC5"/>
    <w:rsid w:val="00435E58"/>
    <w:rsid w:val="0056650C"/>
    <w:rsid w:val="00605D00"/>
    <w:rsid w:val="006465BA"/>
    <w:rsid w:val="00656952"/>
    <w:rsid w:val="0068522C"/>
    <w:rsid w:val="006A6DC5"/>
    <w:rsid w:val="0070403D"/>
    <w:rsid w:val="00744298"/>
    <w:rsid w:val="007B385D"/>
    <w:rsid w:val="007C4145"/>
    <w:rsid w:val="007E4296"/>
    <w:rsid w:val="00836EEC"/>
    <w:rsid w:val="008D3CCB"/>
    <w:rsid w:val="009B072A"/>
    <w:rsid w:val="00A41893"/>
    <w:rsid w:val="00AE6089"/>
    <w:rsid w:val="00B80D78"/>
    <w:rsid w:val="00BB2B73"/>
    <w:rsid w:val="00BD5021"/>
    <w:rsid w:val="00C036E3"/>
    <w:rsid w:val="00CF29B6"/>
    <w:rsid w:val="00E440B0"/>
    <w:rsid w:val="00E61D6F"/>
    <w:rsid w:val="00F13C26"/>
    <w:rsid w:val="00F9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A49A"/>
  <w15:docId w15:val="{3200847E-3A52-4E3F-A14E-0008847E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45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2"/>
      <w:lang w:val="fr-FR"/>
    </w:rPr>
  </w:style>
  <w:style w:type="paragraph" w:styleId="Titre1">
    <w:name w:val="heading 1"/>
    <w:basedOn w:val="Normal"/>
    <w:next w:val="Normal"/>
    <w:qFormat/>
    <w:rsid w:val="001457DC"/>
    <w:pPr>
      <w:keepNext/>
      <w:spacing w:before="480" w:after="240"/>
      <w:ind w:firstLine="0"/>
      <w:jc w:val="left"/>
      <w:outlineLvl w:val="0"/>
    </w:pPr>
    <w:rPr>
      <w:b/>
      <w:kern w:val="28"/>
      <w:sz w:val="24"/>
    </w:rPr>
  </w:style>
  <w:style w:type="paragraph" w:styleId="Titre2">
    <w:name w:val="heading 2"/>
    <w:basedOn w:val="Normal"/>
    <w:next w:val="Normal"/>
    <w:qFormat/>
    <w:rsid w:val="001457DC"/>
    <w:pPr>
      <w:keepNext/>
      <w:spacing w:before="240" w:after="240"/>
      <w:ind w:firstLine="0"/>
      <w:jc w:val="left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rsid w:val="001457DC"/>
    <w:pPr>
      <w:keepNext/>
      <w:spacing w:before="240" w:after="240"/>
      <w:ind w:firstLine="0"/>
      <w:jc w:val="left"/>
      <w:outlineLvl w:val="2"/>
    </w:pPr>
    <w:rPr>
      <w:i/>
    </w:rPr>
  </w:style>
  <w:style w:type="paragraph" w:styleId="Titre4">
    <w:name w:val="heading 4"/>
    <w:basedOn w:val="Normal"/>
    <w:next w:val="Normal"/>
    <w:qFormat/>
    <w:rsid w:val="00C036E3"/>
    <w:pPr>
      <w:keepNext/>
      <w:spacing w:before="240" w:after="240"/>
      <w:ind w:firstLine="0"/>
      <w:jc w:val="left"/>
      <w:outlineLvl w:val="3"/>
    </w:pPr>
    <w:rPr>
      <w:i/>
    </w:rPr>
  </w:style>
  <w:style w:type="paragraph" w:styleId="Titre5">
    <w:name w:val="heading 5"/>
    <w:basedOn w:val="Titre4"/>
    <w:next w:val="Normal"/>
    <w:qFormat/>
    <w:rsid w:val="00C036E3"/>
    <w:pPr>
      <w:outlineLvl w:val="4"/>
    </w:pPr>
  </w:style>
  <w:style w:type="paragraph" w:styleId="Titre6">
    <w:name w:val="heading 6"/>
    <w:basedOn w:val="Titre4"/>
    <w:next w:val="Normal"/>
    <w:qFormat/>
    <w:rsid w:val="00C036E3"/>
    <w:pPr>
      <w:outlineLvl w:val="5"/>
    </w:pPr>
  </w:style>
  <w:style w:type="paragraph" w:styleId="Titre7">
    <w:name w:val="heading 7"/>
    <w:basedOn w:val="Titre4"/>
    <w:next w:val="Normal"/>
    <w:qFormat/>
    <w:rsid w:val="00C036E3"/>
    <w:pPr>
      <w:outlineLvl w:val="6"/>
    </w:pPr>
  </w:style>
  <w:style w:type="paragraph" w:styleId="Titre8">
    <w:name w:val="heading 8"/>
    <w:basedOn w:val="Titre4"/>
    <w:next w:val="Normal"/>
    <w:qFormat/>
    <w:rsid w:val="00C036E3"/>
    <w:pPr>
      <w:outlineLvl w:val="7"/>
    </w:pPr>
  </w:style>
  <w:style w:type="paragraph" w:styleId="Titre9">
    <w:name w:val="heading 9"/>
    <w:basedOn w:val="Titre4"/>
    <w:next w:val="Normal"/>
    <w:qFormat/>
    <w:rsid w:val="00C036E3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unhideWhenUsed/>
    <w:rsid w:val="00287C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010381"/>
    <w:rPr>
      <w:rFonts w:ascii="Lucida Grande" w:hAnsi="Lucida Grande"/>
      <w:sz w:val="18"/>
      <w:szCs w:val="18"/>
    </w:rPr>
  </w:style>
  <w:style w:type="paragraph" w:customStyle="1" w:styleId="Affiliation">
    <w:name w:val="Affiliation"/>
    <w:basedOn w:val="Normal"/>
    <w:rsid w:val="00C036E3"/>
    <w:pPr>
      <w:spacing w:after="120"/>
      <w:ind w:left="284" w:firstLine="0"/>
      <w:jc w:val="left"/>
    </w:pPr>
    <w:rPr>
      <w:i/>
      <w:sz w:val="18"/>
    </w:rPr>
  </w:style>
  <w:style w:type="paragraph" w:customStyle="1" w:styleId="Alina">
    <w:name w:val="Alinéa"/>
    <w:basedOn w:val="Normal"/>
    <w:rsid w:val="00C036E3"/>
    <w:pPr>
      <w:ind w:firstLine="0"/>
    </w:pPr>
  </w:style>
  <w:style w:type="character" w:styleId="Appeldenotedefin">
    <w:name w:val="endnote reference"/>
    <w:semiHidden/>
    <w:rsid w:val="00C036E3"/>
    <w:rPr>
      <w:vertAlign w:val="superscript"/>
    </w:rPr>
  </w:style>
  <w:style w:type="character" w:styleId="Appelnotedebasdep">
    <w:name w:val="footnote reference"/>
    <w:semiHidden/>
    <w:rsid w:val="00C036E3"/>
    <w:rPr>
      <w:sz w:val="20"/>
      <w:vertAlign w:val="superscript"/>
    </w:rPr>
  </w:style>
  <w:style w:type="paragraph" w:customStyle="1" w:styleId="Auteur">
    <w:name w:val="Auteur"/>
    <w:basedOn w:val="Normal"/>
    <w:next w:val="Normal"/>
    <w:rsid w:val="00C036E3"/>
    <w:pPr>
      <w:spacing w:before="240" w:after="1200"/>
      <w:ind w:firstLine="0"/>
      <w:jc w:val="right"/>
    </w:pPr>
    <w:rPr>
      <w:sz w:val="24"/>
    </w:rPr>
  </w:style>
  <w:style w:type="paragraph" w:customStyle="1" w:styleId="Bibliographie1">
    <w:name w:val="Bibliographie1"/>
    <w:basedOn w:val="Normal"/>
    <w:rsid w:val="00C036E3"/>
    <w:pPr>
      <w:ind w:left="284" w:hanging="284"/>
    </w:pPr>
    <w:rPr>
      <w:sz w:val="20"/>
    </w:rPr>
  </w:style>
  <w:style w:type="paragraph" w:customStyle="1" w:styleId="Citation1">
    <w:name w:val="Citation1"/>
    <w:basedOn w:val="Normal"/>
    <w:next w:val="Normal"/>
    <w:rsid w:val="00C036E3"/>
    <w:pPr>
      <w:spacing w:before="120" w:after="240"/>
    </w:pPr>
    <w:rPr>
      <w:sz w:val="18"/>
    </w:rPr>
  </w:style>
  <w:style w:type="paragraph" w:customStyle="1" w:styleId="copyright">
    <w:name w:val="copyright"/>
    <w:basedOn w:val="Normal"/>
    <w:rsid w:val="00C036E3"/>
    <w:pPr>
      <w:ind w:left="284" w:right="284" w:firstLine="0"/>
    </w:pPr>
    <w:rPr>
      <w:sz w:val="14"/>
    </w:rPr>
  </w:style>
  <w:style w:type="paragraph" w:customStyle="1" w:styleId="Corpus">
    <w:name w:val="Corpus"/>
    <w:basedOn w:val="Normal"/>
    <w:rsid w:val="00C036E3"/>
    <w:pPr>
      <w:widowControl w:val="0"/>
      <w:ind w:left="992" w:hanging="425"/>
    </w:pPr>
    <w:rPr>
      <w:i/>
      <w:sz w:val="18"/>
    </w:rPr>
  </w:style>
  <w:style w:type="paragraph" w:customStyle="1" w:styleId="Direction">
    <w:name w:val="Direction"/>
    <w:basedOn w:val="Normal"/>
    <w:next w:val="Normal"/>
    <w:rsid w:val="00C036E3"/>
    <w:pPr>
      <w:spacing w:before="1200"/>
      <w:ind w:firstLine="0"/>
      <w:jc w:val="center"/>
    </w:pPr>
    <w:rPr>
      <w:i/>
      <w:sz w:val="28"/>
    </w:rPr>
  </w:style>
  <w:style w:type="paragraph" w:customStyle="1" w:styleId="Editeur">
    <w:name w:val="Editeur"/>
    <w:basedOn w:val="Normal"/>
    <w:next w:val="Normal"/>
    <w:rsid w:val="00C036E3"/>
    <w:pPr>
      <w:ind w:firstLine="0"/>
      <w:jc w:val="center"/>
    </w:pPr>
    <w:rPr>
      <w:caps/>
    </w:rPr>
  </w:style>
  <w:style w:type="paragraph" w:styleId="En-tte">
    <w:name w:val="header"/>
    <w:basedOn w:val="Normal"/>
    <w:rsid w:val="00C036E3"/>
    <w:pPr>
      <w:tabs>
        <w:tab w:val="right" w:pos="6519"/>
      </w:tabs>
      <w:ind w:firstLine="0"/>
    </w:pPr>
    <w:rPr>
      <w:i/>
      <w:sz w:val="20"/>
    </w:rPr>
  </w:style>
  <w:style w:type="paragraph" w:customStyle="1" w:styleId="Figure">
    <w:name w:val="Figure"/>
    <w:basedOn w:val="Normal"/>
    <w:next w:val="Normal"/>
    <w:rsid w:val="00C036E3"/>
    <w:pPr>
      <w:keepNext/>
      <w:spacing w:before="240"/>
      <w:ind w:firstLine="0"/>
      <w:jc w:val="center"/>
    </w:pPr>
  </w:style>
  <w:style w:type="paragraph" w:customStyle="1" w:styleId="formule">
    <w:name w:val="formule"/>
    <w:basedOn w:val="Corpus"/>
    <w:rsid w:val="00C036E3"/>
    <w:pPr>
      <w:spacing w:before="120" w:after="240"/>
      <w:ind w:left="567" w:firstLine="0"/>
    </w:pPr>
    <w:rPr>
      <w:i w:val="0"/>
    </w:rPr>
  </w:style>
  <w:style w:type="paragraph" w:styleId="Lgende">
    <w:name w:val="caption"/>
    <w:basedOn w:val="Normal"/>
    <w:next w:val="Normal"/>
    <w:qFormat/>
    <w:rsid w:val="00C036E3"/>
    <w:pPr>
      <w:spacing w:before="120" w:after="240"/>
      <w:ind w:firstLine="0"/>
      <w:jc w:val="left"/>
    </w:pPr>
    <w:rPr>
      <w:i/>
      <w:sz w:val="20"/>
    </w:rPr>
  </w:style>
  <w:style w:type="paragraph" w:customStyle="1" w:styleId="Lgendetab">
    <w:name w:val="Légende_tab"/>
    <w:basedOn w:val="Lgende"/>
    <w:next w:val="Normal"/>
    <w:rsid w:val="00C036E3"/>
    <w:pPr>
      <w:keepNext/>
      <w:spacing w:before="240" w:after="120"/>
      <w:jc w:val="both"/>
    </w:pPr>
  </w:style>
  <w:style w:type="character" w:customStyle="1" w:styleId="Hyperlink1">
    <w:name w:val="Hyperlink1"/>
    <w:rsid w:val="00C036E3"/>
    <w:rPr>
      <w:color w:val="0000FF"/>
      <w:u w:val="single"/>
    </w:rPr>
  </w:style>
  <w:style w:type="character" w:customStyle="1" w:styleId="FollowedHyperlink1">
    <w:name w:val="FollowedHyperlink1"/>
    <w:rsid w:val="00C036E3"/>
    <w:rPr>
      <w:color w:val="800080"/>
      <w:u w:val="single"/>
    </w:rPr>
  </w:style>
  <w:style w:type="paragraph" w:styleId="Notedebasdepage">
    <w:name w:val="footnote text"/>
    <w:basedOn w:val="Normal"/>
    <w:semiHidden/>
    <w:rsid w:val="00C036E3"/>
    <w:pPr>
      <w:widowControl w:val="0"/>
      <w:ind w:firstLine="0"/>
    </w:pPr>
    <w:rPr>
      <w:noProof/>
      <w:sz w:val="18"/>
    </w:rPr>
  </w:style>
  <w:style w:type="character" w:styleId="Numrodepage">
    <w:name w:val="page number"/>
    <w:basedOn w:val="Policepardfaut"/>
    <w:rsid w:val="00C036E3"/>
  </w:style>
  <w:style w:type="paragraph" w:styleId="Pieddepage">
    <w:name w:val="footer"/>
    <w:basedOn w:val="Normal"/>
    <w:rsid w:val="00C036E3"/>
    <w:pPr>
      <w:tabs>
        <w:tab w:val="center" w:pos="4536"/>
        <w:tab w:val="right" w:pos="9072"/>
      </w:tabs>
      <w:ind w:firstLine="0"/>
      <w:jc w:val="left"/>
    </w:pPr>
    <w:rPr>
      <w:i/>
      <w:sz w:val="20"/>
    </w:rPr>
  </w:style>
  <w:style w:type="paragraph" w:customStyle="1" w:styleId="Sommaire">
    <w:name w:val="Sommaire"/>
    <w:basedOn w:val="Normal"/>
    <w:next w:val="Normal"/>
    <w:rsid w:val="00C036E3"/>
    <w:pPr>
      <w:spacing w:after="720"/>
      <w:ind w:firstLine="0"/>
      <w:jc w:val="center"/>
    </w:pPr>
    <w:rPr>
      <w:i/>
      <w:sz w:val="36"/>
    </w:rPr>
  </w:style>
  <w:style w:type="paragraph" w:styleId="Sous-titre">
    <w:name w:val="Subtitle"/>
    <w:basedOn w:val="Normal"/>
    <w:qFormat/>
    <w:rsid w:val="00C036E3"/>
    <w:pPr>
      <w:ind w:firstLine="0"/>
      <w:jc w:val="right"/>
    </w:pPr>
    <w:rPr>
      <w:i/>
      <w:sz w:val="24"/>
    </w:rPr>
  </w:style>
  <w:style w:type="paragraph" w:customStyle="1" w:styleId="Sur-titre-1">
    <w:name w:val="Sur-titre-1"/>
    <w:basedOn w:val="Normal"/>
    <w:next w:val="Normal"/>
    <w:rsid w:val="00C036E3"/>
    <w:pPr>
      <w:spacing w:before="3840"/>
      <w:ind w:firstLine="0"/>
      <w:jc w:val="center"/>
    </w:pPr>
    <w:rPr>
      <w:sz w:val="40"/>
    </w:rPr>
  </w:style>
  <w:style w:type="paragraph" w:customStyle="1" w:styleId="Sur-titre-2">
    <w:name w:val="Sur-titre-2"/>
    <w:basedOn w:val="Sur-titre-1"/>
    <w:next w:val="Normal"/>
    <w:rsid w:val="00C036E3"/>
    <w:pPr>
      <w:spacing w:before="2880"/>
    </w:pPr>
    <w:rPr>
      <w:sz w:val="52"/>
    </w:rPr>
  </w:style>
  <w:style w:type="paragraph" w:customStyle="1" w:styleId="Tableau">
    <w:name w:val="Tableau"/>
    <w:basedOn w:val="Normal"/>
    <w:rsid w:val="00C036E3"/>
    <w:pPr>
      <w:spacing w:before="20" w:after="20"/>
      <w:ind w:firstLine="0"/>
      <w:jc w:val="left"/>
    </w:pPr>
    <w:rPr>
      <w:sz w:val="18"/>
    </w:rPr>
  </w:style>
  <w:style w:type="paragraph" w:styleId="Titre">
    <w:name w:val="Title"/>
    <w:aliases w:val="Title"/>
    <w:basedOn w:val="Normal"/>
    <w:qFormat/>
    <w:rsid w:val="001457DC"/>
    <w:pPr>
      <w:pBdr>
        <w:bottom w:val="single" w:sz="6" w:space="4" w:color="auto"/>
      </w:pBdr>
      <w:spacing w:before="1200" w:after="240"/>
      <w:ind w:firstLine="0"/>
      <w:jc w:val="center"/>
    </w:pPr>
    <w:rPr>
      <w:i/>
      <w:kern w:val="28"/>
      <w:sz w:val="36"/>
    </w:rPr>
  </w:style>
  <w:style w:type="paragraph" w:customStyle="1" w:styleId="Titreintro">
    <w:name w:val="Titre intro"/>
    <w:basedOn w:val="Titre1"/>
    <w:next w:val="Normal"/>
    <w:rsid w:val="00C036E3"/>
    <w:pPr>
      <w:spacing w:before="0"/>
      <w:outlineLvl w:val="9"/>
    </w:pPr>
  </w:style>
  <w:style w:type="paragraph" w:customStyle="1" w:styleId="Titrechapitre">
    <w:name w:val="Titre_chapitre"/>
    <w:basedOn w:val="Normal"/>
    <w:next w:val="Auteur"/>
    <w:rsid w:val="00C036E3"/>
    <w:pPr>
      <w:keepNext/>
      <w:spacing w:after="1200"/>
      <w:ind w:firstLine="0"/>
      <w:jc w:val="right"/>
    </w:pPr>
    <w:rPr>
      <w:i/>
      <w:sz w:val="32"/>
    </w:rPr>
  </w:style>
  <w:style w:type="paragraph" w:customStyle="1" w:styleId="Titre-biblio">
    <w:name w:val="Titre-biblio"/>
    <w:basedOn w:val="Titreintro"/>
    <w:next w:val="Bibliographie1"/>
    <w:rsid w:val="00C036E3"/>
    <w:pPr>
      <w:spacing w:before="480"/>
      <w:jc w:val="center"/>
    </w:pPr>
  </w:style>
  <w:style w:type="paragraph" w:styleId="TM1">
    <w:name w:val="toc 1"/>
    <w:basedOn w:val="Normal"/>
    <w:next w:val="Normal"/>
    <w:semiHidden/>
    <w:rsid w:val="00C036E3"/>
    <w:pPr>
      <w:tabs>
        <w:tab w:val="right" w:leader="underscore" w:pos="6509"/>
      </w:tabs>
      <w:spacing w:before="120"/>
      <w:ind w:firstLine="0"/>
      <w:jc w:val="left"/>
    </w:pPr>
    <w:rPr>
      <w:i/>
      <w:noProof/>
      <w:sz w:val="24"/>
    </w:rPr>
  </w:style>
  <w:style w:type="paragraph" w:styleId="TM2">
    <w:name w:val="toc 2"/>
    <w:basedOn w:val="Normal"/>
    <w:next w:val="Normal"/>
    <w:semiHidden/>
    <w:rsid w:val="00C036E3"/>
    <w:pPr>
      <w:keepNext/>
      <w:tabs>
        <w:tab w:val="right" w:leader="underscore" w:pos="6521"/>
      </w:tabs>
      <w:ind w:right="567" w:firstLine="0"/>
      <w:jc w:val="left"/>
    </w:pPr>
    <w:rPr>
      <w:i/>
      <w:noProof/>
    </w:rPr>
  </w:style>
  <w:style w:type="paragraph" w:styleId="TM3">
    <w:name w:val="toc 3"/>
    <w:basedOn w:val="Normal"/>
    <w:next w:val="Normal"/>
    <w:semiHidden/>
    <w:rsid w:val="00C036E3"/>
    <w:pPr>
      <w:tabs>
        <w:tab w:val="right" w:pos="6509"/>
      </w:tabs>
      <w:ind w:left="284" w:hanging="14"/>
      <w:jc w:val="left"/>
    </w:pPr>
    <w:rPr>
      <w:noProof/>
      <w:sz w:val="20"/>
    </w:rPr>
  </w:style>
  <w:style w:type="paragraph" w:styleId="TM4">
    <w:name w:val="toc 4"/>
    <w:basedOn w:val="Normal"/>
    <w:next w:val="Normal"/>
    <w:semiHidden/>
    <w:rsid w:val="00C036E3"/>
    <w:pPr>
      <w:tabs>
        <w:tab w:val="right" w:leader="underscore" w:pos="6509"/>
      </w:tabs>
      <w:ind w:left="284" w:firstLine="0"/>
      <w:jc w:val="left"/>
    </w:pPr>
    <w:rPr>
      <w:noProof/>
      <w:sz w:val="20"/>
    </w:rPr>
  </w:style>
  <w:style w:type="paragraph" w:styleId="TM5">
    <w:name w:val="toc 5"/>
    <w:basedOn w:val="Normal"/>
    <w:next w:val="Normal"/>
    <w:semiHidden/>
    <w:rsid w:val="00C036E3"/>
    <w:pPr>
      <w:ind w:left="880"/>
      <w:jc w:val="left"/>
    </w:pPr>
    <w:rPr>
      <w:sz w:val="20"/>
    </w:rPr>
  </w:style>
  <w:style w:type="paragraph" w:styleId="TM6">
    <w:name w:val="toc 6"/>
    <w:basedOn w:val="Normal"/>
    <w:next w:val="Normal"/>
    <w:semiHidden/>
    <w:rsid w:val="00C036E3"/>
    <w:pPr>
      <w:ind w:left="1100"/>
      <w:jc w:val="left"/>
    </w:pPr>
    <w:rPr>
      <w:sz w:val="20"/>
    </w:rPr>
  </w:style>
  <w:style w:type="paragraph" w:styleId="TM7">
    <w:name w:val="toc 7"/>
    <w:basedOn w:val="Normal"/>
    <w:next w:val="Normal"/>
    <w:semiHidden/>
    <w:rsid w:val="00C036E3"/>
    <w:pPr>
      <w:ind w:left="1320"/>
      <w:jc w:val="left"/>
    </w:pPr>
    <w:rPr>
      <w:sz w:val="20"/>
    </w:rPr>
  </w:style>
  <w:style w:type="paragraph" w:styleId="TM8">
    <w:name w:val="toc 8"/>
    <w:basedOn w:val="Normal"/>
    <w:next w:val="Normal"/>
    <w:semiHidden/>
    <w:rsid w:val="00C036E3"/>
    <w:pPr>
      <w:ind w:left="1540"/>
      <w:jc w:val="left"/>
    </w:pPr>
    <w:rPr>
      <w:sz w:val="20"/>
    </w:rPr>
  </w:style>
  <w:style w:type="paragraph" w:styleId="TM9">
    <w:name w:val="toc 9"/>
    <w:basedOn w:val="Normal"/>
    <w:next w:val="Normal"/>
    <w:semiHidden/>
    <w:rsid w:val="00C036E3"/>
    <w:pPr>
      <w:ind w:left="1760"/>
      <w:jc w:val="left"/>
    </w:pPr>
    <w:rPr>
      <w:sz w:val="20"/>
    </w:rPr>
  </w:style>
  <w:style w:type="paragraph" w:customStyle="1" w:styleId="Auteurs">
    <w:name w:val="Auteurs"/>
    <w:basedOn w:val="Titre"/>
    <w:uiPriority w:val="99"/>
    <w:rsid w:val="001F53F3"/>
    <w:pPr>
      <w:pBdr>
        <w:bottom w:val="none" w:sz="0" w:space="0" w:color="auto"/>
      </w:pBdr>
      <w:spacing w:before="0" w:after="600"/>
    </w:pPr>
    <w:rPr>
      <w:b/>
      <w:i w:val="0"/>
      <w:sz w:val="28"/>
      <w:szCs w:val="32"/>
    </w:rPr>
  </w:style>
  <w:style w:type="paragraph" w:customStyle="1" w:styleId="Adresses">
    <w:name w:val="Adresses"/>
    <w:basedOn w:val="Auteurs"/>
    <w:uiPriority w:val="99"/>
    <w:rsid w:val="00B749AE"/>
    <w:pPr>
      <w:spacing w:after="0"/>
    </w:pPr>
    <w:rPr>
      <w:b w:val="0"/>
      <w:i/>
      <w:sz w:val="24"/>
    </w:rPr>
  </w:style>
  <w:style w:type="paragraph" w:customStyle="1" w:styleId="Rsumtexte">
    <w:name w:val="RŽsumŽ texte"/>
    <w:basedOn w:val="Normal"/>
    <w:uiPriority w:val="99"/>
    <w:rsid w:val="00B749AE"/>
    <w:pPr>
      <w:overflowPunct/>
      <w:autoSpaceDE/>
      <w:autoSpaceDN/>
      <w:adjustRightInd/>
      <w:spacing w:after="120" w:line="220" w:lineRule="exact"/>
      <w:ind w:firstLine="0"/>
      <w:textAlignment w:val="auto"/>
    </w:pPr>
    <w:rPr>
      <w:rFonts w:ascii="Times" w:hAnsi="Times"/>
      <w:i/>
      <w:sz w:val="20"/>
    </w:rPr>
  </w:style>
  <w:style w:type="character" w:styleId="Lienhypertexte">
    <w:name w:val="Hyperlink"/>
    <w:rsid w:val="00B749AE"/>
    <w:rPr>
      <w:color w:val="0000FF"/>
      <w:u w:val="single"/>
    </w:rPr>
  </w:style>
  <w:style w:type="paragraph" w:styleId="Citation">
    <w:name w:val="Quote"/>
    <w:basedOn w:val="Normal"/>
    <w:next w:val="Normal"/>
    <w:link w:val="CitationCar"/>
    <w:uiPriority w:val="73"/>
    <w:rsid w:val="001457DC"/>
    <w:pPr>
      <w:spacing w:before="200" w:after="160"/>
      <w:ind w:left="864" w:right="864"/>
      <w:jc w:val="left"/>
    </w:pPr>
    <w:rPr>
      <w:iCs/>
      <w:sz w:val="18"/>
    </w:rPr>
  </w:style>
  <w:style w:type="character" w:customStyle="1" w:styleId="CitationCar">
    <w:name w:val="Citation Car"/>
    <w:basedOn w:val="Policepardfaut"/>
    <w:link w:val="Citation"/>
    <w:uiPriority w:val="73"/>
    <w:rsid w:val="001457DC"/>
    <w:rPr>
      <w:iCs/>
      <w:sz w:val="18"/>
      <w:lang w:val="fr-FR"/>
    </w:rPr>
  </w:style>
  <w:style w:type="character" w:styleId="Marquedecommentaire">
    <w:name w:val="annotation reference"/>
    <w:basedOn w:val="Policepardfaut"/>
    <w:semiHidden/>
    <w:unhideWhenUsed/>
    <w:rsid w:val="00287C7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87C7F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287C7F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87C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87C7F"/>
    <w:rPr>
      <w:b/>
      <w:bCs/>
      <w:lang w:val="fr-FR"/>
    </w:rPr>
  </w:style>
  <w:style w:type="character" w:customStyle="1" w:styleId="TextedebullesCar1">
    <w:name w:val="Texte de bulles Car1"/>
    <w:basedOn w:val="Policepardfaut"/>
    <w:link w:val="Textedebulles"/>
    <w:semiHidden/>
    <w:rsid w:val="00287C7F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rsid w:val="003F7C5D"/>
    <w:pPr>
      <w:overflowPunct/>
      <w:autoSpaceDE/>
      <w:autoSpaceDN/>
      <w:adjustRightInd/>
      <w:spacing w:beforeLines="1" w:line="360" w:lineRule="auto"/>
      <w:ind w:firstLine="680"/>
      <w:textAlignment w:val="auto"/>
    </w:pPr>
    <w:rPr>
      <w:rFonts w:ascii="Times" w:eastAsiaTheme="minorHAnsi" w:hAnsi="Times"/>
      <w:sz w:val="20"/>
      <w:lang w:val="en-US"/>
    </w:rPr>
  </w:style>
  <w:style w:type="paragraph" w:customStyle="1" w:styleId="western">
    <w:name w:val="western"/>
    <w:basedOn w:val="Normal"/>
    <w:rsid w:val="003F7C5D"/>
    <w:pPr>
      <w:overflowPunct/>
      <w:autoSpaceDE/>
      <w:autoSpaceDN/>
      <w:adjustRightInd/>
      <w:spacing w:beforeLines="1" w:line="360" w:lineRule="auto"/>
      <w:ind w:firstLine="680"/>
      <w:textAlignment w:val="auto"/>
    </w:pPr>
    <w:rPr>
      <w:rFonts w:ascii="Times" w:eastAsiaTheme="minorHAnsi" w:hAnsi="Times" w:cstheme="minorBidi"/>
      <w:sz w:val="20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7C4145"/>
    <w:pPr>
      <w:ind w:left="284" w:hanging="284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927</Words>
  <Characters>5101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Feuille de Style SCAN'14</vt:lpstr>
      <vt:lpstr>Feuille de Style SCAN'14</vt:lpstr>
    </vt:vector>
  </TitlesOfParts>
  <Company>CRI / Université Nancy 2</Company>
  <LinksUpToDate>false</LinksUpToDate>
  <CharactersWithSpaces>6016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Style SCAN'14</dc:title>
  <dc:subject/>
  <dc:creator>C.R.I. / Université Nancy 2;Sylvain Kubicki</dc:creator>
  <cp:keywords>SCAN14</cp:keywords>
  <cp:lastModifiedBy>Étienne Nadji</cp:lastModifiedBy>
  <cp:revision>25</cp:revision>
  <cp:lastPrinted>2007-07-12T12:57:00Z</cp:lastPrinted>
  <dcterms:created xsi:type="dcterms:W3CDTF">2022-06-20T15:23:00Z</dcterms:created>
  <dcterms:modified xsi:type="dcterms:W3CDTF">2022-10-19T13:12:00Z</dcterms:modified>
</cp:coreProperties>
</file>